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283" w:type="dxa"/>
        <w:tblLayout w:type="fixed"/>
        <w:tblLook w:val="04A0" w:firstRow="1" w:lastRow="0" w:firstColumn="1" w:lastColumn="0" w:noHBand="0" w:noVBand="1"/>
      </w:tblPr>
      <w:tblGrid>
        <w:gridCol w:w="817"/>
        <w:gridCol w:w="4111"/>
        <w:gridCol w:w="5245"/>
        <w:gridCol w:w="4110"/>
      </w:tblGrid>
      <w:tr w:rsidR="004A4646" w:rsidTr="0002055E">
        <w:tc>
          <w:tcPr>
            <w:tcW w:w="14283" w:type="dxa"/>
            <w:gridSpan w:val="4"/>
            <w:shd w:val="clear" w:color="auto" w:fill="A6A6A6" w:themeFill="background1" w:themeFillShade="A6"/>
            <w:vAlign w:val="center"/>
          </w:tcPr>
          <w:p w:rsidR="004A4646" w:rsidRPr="009504EE" w:rsidRDefault="004A4646" w:rsidP="004A4646">
            <w:pPr>
              <w:pStyle w:val="BodyText"/>
              <w:kinsoku w:val="0"/>
              <w:overflowPunct w:val="0"/>
              <w:spacing w:before="120" w:after="120"/>
              <w:ind w:left="0" w:right="357" w:firstLine="0"/>
              <w:jc w:val="center"/>
              <w:rPr>
                <w:b/>
                <w:bCs/>
                <w:sz w:val="22"/>
                <w:szCs w:val="22"/>
              </w:rPr>
            </w:pPr>
            <w:r w:rsidRPr="009504EE">
              <w:rPr>
                <w:b/>
                <w:bCs/>
                <w:spacing w:val="-1"/>
                <w:sz w:val="22"/>
                <w:szCs w:val="22"/>
              </w:rPr>
              <w:t>GST</w:t>
            </w:r>
            <w:r w:rsidRPr="009504EE">
              <w:rPr>
                <w:b/>
                <w:bCs/>
                <w:spacing w:val="2"/>
                <w:sz w:val="22"/>
                <w:szCs w:val="22"/>
              </w:rPr>
              <w:t xml:space="preserve"> </w:t>
            </w:r>
            <w:r w:rsidR="00D609E5">
              <w:rPr>
                <w:b/>
                <w:bCs/>
                <w:sz w:val="22"/>
                <w:szCs w:val="22"/>
              </w:rPr>
              <w:t>DG’S DECISIONS 8</w:t>
            </w:r>
            <w:r w:rsidR="00C14C2F" w:rsidRPr="009504EE">
              <w:rPr>
                <w:b/>
                <w:bCs/>
                <w:sz w:val="22"/>
                <w:szCs w:val="22"/>
              </w:rPr>
              <w:t>-2015</w:t>
            </w:r>
          </w:p>
        </w:tc>
      </w:tr>
      <w:tr w:rsidR="0010209A" w:rsidTr="002974EE">
        <w:tc>
          <w:tcPr>
            <w:tcW w:w="817" w:type="dxa"/>
            <w:shd w:val="clear" w:color="auto" w:fill="A6A6A6" w:themeFill="background1" w:themeFillShade="A6"/>
            <w:vAlign w:val="center"/>
          </w:tcPr>
          <w:p w:rsidR="0010209A" w:rsidRPr="009504EE" w:rsidRDefault="0010209A" w:rsidP="0010209A">
            <w:pPr>
              <w:pStyle w:val="TableParagraph"/>
              <w:kinsoku w:val="0"/>
              <w:overflowPunct w:val="0"/>
              <w:spacing w:line="266" w:lineRule="exact"/>
              <w:ind w:left="104"/>
              <w:jc w:val="center"/>
              <w:rPr>
                <w:sz w:val="22"/>
                <w:szCs w:val="22"/>
              </w:rPr>
            </w:pPr>
            <w:r w:rsidRPr="009504EE">
              <w:rPr>
                <w:rFonts w:ascii="Arial" w:hAnsi="Arial" w:cs="Arial"/>
                <w:b/>
                <w:bCs/>
                <w:spacing w:val="-2"/>
                <w:sz w:val="22"/>
                <w:szCs w:val="22"/>
              </w:rPr>
              <w:t>NO.</w:t>
            </w:r>
          </w:p>
        </w:tc>
        <w:tc>
          <w:tcPr>
            <w:tcW w:w="4111" w:type="dxa"/>
            <w:shd w:val="clear" w:color="auto" w:fill="A6A6A6" w:themeFill="background1" w:themeFillShade="A6"/>
            <w:vAlign w:val="center"/>
          </w:tcPr>
          <w:p w:rsidR="0010209A" w:rsidRPr="009504EE" w:rsidRDefault="0010209A" w:rsidP="004A4646">
            <w:pPr>
              <w:pStyle w:val="TableParagraph"/>
              <w:kinsoku w:val="0"/>
              <w:overflowPunct w:val="0"/>
              <w:spacing w:before="120" w:after="120" w:line="266" w:lineRule="exact"/>
              <w:ind w:left="104"/>
              <w:jc w:val="center"/>
              <w:rPr>
                <w:sz w:val="22"/>
                <w:szCs w:val="22"/>
              </w:rPr>
            </w:pPr>
            <w:r w:rsidRPr="009504EE">
              <w:rPr>
                <w:rFonts w:ascii="Arial" w:hAnsi="Arial" w:cs="Arial"/>
                <w:b/>
                <w:bCs/>
                <w:spacing w:val="-2"/>
                <w:sz w:val="22"/>
                <w:szCs w:val="22"/>
              </w:rPr>
              <w:t>ISSUES</w:t>
            </w:r>
          </w:p>
        </w:tc>
        <w:tc>
          <w:tcPr>
            <w:tcW w:w="5245" w:type="dxa"/>
            <w:shd w:val="clear" w:color="auto" w:fill="A6A6A6" w:themeFill="background1" w:themeFillShade="A6"/>
            <w:vAlign w:val="center"/>
          </w:tcPr>
          <w:p w:rsidR="0010209A" w:rsidRPr="009504EE" w:rsidRDefault="0010209A" w:rsidP="004A4646">
            <w:pPr>
              <w:pStyle w:val="TableParagraph"/>
              <w:kinsoku w:val="0"/>
              <w:overflowPunct w:val="0"/>
              <w:spacing w:before="120" w:after="120" w:line="266" w:lineRule="exact"/>
              <w:ind w:left="99"/>
              <w:jc w:val="center"/>
              <w:rPr>
                <w:sz w:val="22"/>
                <w:szCs w:val="22"/>
              </w:rPr>
            </w:pPr>
            <w:r w:rsidRPr="009504EE">
              <w:rPr>
                <w:rFonts w:ascii="Arial" w:hAnsi="Arial" w:cs="Arial"/>
                <w:b/>
                <w:bCs/>
                <w:spacing w:val="-2"/>
                <w:sz w:val="22"/>
                <w:szCs w:val="22"/>
              </w:rPr>
              <w:t>RMC</w:t>
            </w:r>
            <w:r w:rsidRPr="009504EE">
              <w:rPr>
                <w:rFonts w:ascii="Arial" w:hAnsi="Arial" w:cs="Arial"/>
                <w:b/>
                <w:bCs/>
                <w:sz w:val="22"/>
                <w:szCs w:val="22"/>
              </w:rPr>
              <w:t xml:space="preserve"> </w:t>
            </w:r>
            <w:r w:rsidRPr="009504EE">
              <w:rPr>
                <w:rFonts w:ascii="Arial" w:hAnsi="Arial" w:cs="Arial"/>
                <w:b/>
                <w:bCs/>
                <w:spacing w:val="-1"/>
                <w:sz w:val="22"/>
                <w:szCs w:val="22"/>
              </w:rPr>
              <w:t>DECISION</w:t>
            </w:r>
          </w:p>
        </w:tc>
        <w:tc>
          <w:tcPr>
            <w:tcW w:w="4110" w:type="dxa"/>
            <w:shd w:val="clear" w:color="auto" w:fill="A6A6A6" w:themeFill="background1" w:themeFillShade="A6"/>
            <w:vAlign w:val="center"/>
          </w:tcPr>
          <w:p w:rsidR="0010209A" w:rsidRPr="009504EE" w:rsidRDefault="00F622F5" w:rsidP="004A4646">
            <w:pPr>
              <w:pStyle w:val="BodyText"/>
              <w:kinsoku w:val="0"/>
              <w:overflowPunct w:val="0"/>
              <w:spacing w:before="120" w:after="120"/>
              <w:ind w:left="0" w:right="357" w:firstLine="0"/>
              <w:jc w:val="center"/>
              <w:rPr>
                <w:b/>
                <w:sz w:val="22"/>
                <w:szCs w:val="22"/>
              </w:rPr>
            </w:pPr>
            <w:r>
              <w:rPr>
                <w:b/>
                <w:sz w:val="22"/>
                <w:szCs w:val="22"/>
              </w:rPr>
              <w:t>MEMBERS</w:t>
            </w:r>
            <w:r w:rsidR="0010209A" w:rsidRPr="009504EE">
              <w:rPr>
                <w:b/>
                <w:sz w:val="22"/>
                <w:szCs w:val="22"/>
              </w:rPr>
              <w:t xml:space="preserve"> COMMENTS</w:t>
            </w:r>
          </w:p>
        </w:tc>
      </w:tr>
      <w:tr w:rsidR="00D9261A" w:rsidTr="002974EE">
        <w:tc>
          <w:tcPr>
            <w:tcW w:w="817" w:type="dxa"/>
            <w:shd w:val="clear" w:color="auto" w:fill="auto"/>
          </w:tcPr>
          <w:p w:rsidR="00D9261A" w:rsidRPr="00291642" w:rsidRDefault="00252461" w:rsidP="004E2929">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1</w:t>
            </w:r>
          </w:p>
        </w:tc>
        <w:tc>
          <w:tcPr>
            <w:tcW w:w="4111" w:type="dxa"/>
            <w:shd w:val="clear" w:color="auto" w:fill="auto"/>
          </w:tcPr>
          <w:p w:rsidR="00D609E5" w:rsidRPr="00D609E5" w:rsidRDefault="00D609E5" w:rsidP="00D609E5">
            <w:pPr>
              <w:autoSpaceDE w:val="0"/>
              <w:autoSpaceDN w:val="0"/>
              <w:adjustRightInd w:val="0"/>
              <w:spacing w:before="120"/>
              <w:rPr>
                <w:rFonts w:ascii="Arial" w:hAnsi="Arial" w:cs="Arial"/>
                <w:color w:val="000000"/>
              </w:rPr>
            </w:pPr>
            <w:r w:rsidRPr="00D609E5">
              <w:rPr>
                <w:rFonts w:ascii="Arial" w:hAnsi="Arial" w:cs="Arial"/>
                <w:color w:val="000000"/>
              </w:rPr>
              <w:t>Employee Benefit</w:t>
            </w:r>
          </w:p>
          <w:p w:rsidR="008A0501" w:rsidRPr="00252461" w:rsidRDefault="00D609E5" w:rsidP="00745987">
            <w:pPr>
              <w:pStyle w:val="TableParagraph"/>
              <w:numPr>
                <w:ilvl w:val="0"/>
                <w:numId w:val="1"/>
              </w:numPr>
              <w:kinsoku w:val="0"/>
              <w:overflowPunct w:val="0"/>
              <w:spacing w:before="120" w:after="120" w:line="266" w:lineRule="exact"/>
              <w:jc w:val="both"/>
              <w:rPr>
                <w:rFonts w:ascii="Arial" w:hAnsi="Arial" w:cs="Arial"/>
                <w:bCs/>
                <w:spacing w:val="-2"/>
                <w:sz w:val="22"/>
                <w:szCs w:val="22"/>
              </w:rPr>
            </w:pPr>
            <w:r w:rsidRPr="00D609E5">
              <w:rPr>
                <w:rFonts w:ascii="Arial" w:hAnsi="Arial" w:cs="Arial"/>
                <w:bCs/>
                <w:spacing w:val="-2"/>
                <w:sz w:val="22"/>
                <w:szCs w:val="22"/>
              </w:rPr>
              <w:t>Whether supply of accommodation with furniture to an employee without consideration is considered as employee benefit?</w:t>
            </w:r>
          </w:p>
        </w:tc>
        <w:tc>
          <w:tcPr>
            <w:tcW w:w="5245" w:type="dxa"/>
            <w:shd w:val="clear" w:color="auto" w:fill="auto"/>
          </w:tcPr>
          <w:p w:rsidR="00731671" w:rsidRPr="00D609E5" w:rsidRDefault="00D609E5" w:rsidP="00745987">
            <w:pPr>
              <w:pStyle w:val="ListParagraph"/>
              <w:numPr>
                <w:ilvl w:val="0"/>
                <w:numId w:val="2"/>
              </w:numPr>
              <w:tabs>
                <w:tab w:val="left" w:pos="667"/>
              </w:tabs>
              <w:spacing w:before="128" w:line="274" w:lineRule="exact"/>
              <w:ind w:right="104"/>
              <w:jc w:val="both"/>
              <w:rPr>
                <w:rFonts w:ascii="Arial" w:eastAsia="Arial" w:hAnsi="Arial" w:cs="Arial"/>
                <w:sz w:val="22"/>
                <w:szCs w:val="22"/>
              </w:rPr>
            </w:pPr>
            <w:r w:rsidRPr="00D609E5">
              <w:rPr>
                <w:rFonts w:ascii="Arial" w:eastAsia="Arial" w:hAnsi="Arial" w:cs="Arial"/>
                <w:sz w:val="22"/>
                <w:szCs w:val="22"/>
              </w:rPr>
              <w:t>Employee benefit is a supply of goods or services by the employer to the employees for free of charge and it must be stated in the contract of employment. The supply made under employee benefit is considered as used for the purpose of business and the input tax incurred by the employer on such goods or services is claimable except for the supply which relates to an exempt supply or block input tax.</w:t>
            </w:r>
          </w:p>
          <w:p w:rsidR="00D609E5" w:rsidRPr="00D609E5" w:rsidRDefault="00D609E5" w:rsidP="00745987">
            <w:pPr>
              <w:pStyle w:val="ListParagraph"/>
              <w:numPr>
                <w:ilvl w:val="0"/>
                <w:numId w:val="2"/>
              </w:numPr>
              <w:tabs>
                <w:tab w:val="left" w:pos="667"/>
              </w:tabs>
              <w:spacing w:before="128" w:line="274" w:lineRule="exact"/>
              <w:ind w:right="104"/>
              <w:jc w:val="both"/>
              <w:rPr>
                <w:rFonts w:ascii="Arial" w:eastAsia="Arial" w:hAnsi="Arial" w:cs="Arial"/>
                <w:sz w:val="22"/>
                <w:szCs w:val="22"/>
              </w:rPr>
            </w:pPr>
            <w:r w:rsidRPr="00D609E5">
              <w:rPr>
                <w:rFonts w:ascii="Arial" w:eastAsia="Arial" w:hAnsi="Arial" w:cs="Arial"/>
                <w:sz w:val="22"/>
                <w:szCs w:val="22"/>
              </w:rPr>
              <w:t xml:space="preserve">Employee benefit includes supply of accommodation or residential housing to the employee for free of charge but does not include furniture. </w:t>
            </w:r>
          </w:p>
          <w:p w:rsidR="00D609E5" w:rsidRPr="00D609E5" w:rsidRDefault="00D609E5" w:rsidP="00745987">
            <w:pPr>
              <w:pStyle w:val="ListParagraph"/>
              <w:numPr>
                <w:ilvl w:val="0"/>
                <w:numId w:val="2"/>
              </w:numPr>
              <w:tabs>
                <w:tab w:val="left" w:pos="667"/>
              </w:tabs>
              <w:spacing w:before="128" w:line="274" w:lineRule="exact"/>
              <w:ind w:right="104"/>
              <w:jc w:val="both"/>
              <w:rPr>
                <w:rFonts w:ascii="Arial" w:eastAsia="Arial" w:hAnsi="Arial" w:cs="Arial"/>
                <w:sz w:val="22"/>
                <w:szCs w:val="22"/>
              </w:rPr>
            </w:pPr>
            <w:r w:rsidRPr="00D609E5">
              <w:rPr>
                <w:rFonts w:ascii="Arial" w:eastAsia="Arial" w:hAnsi="Arial" w:cs="Arial"/>
                <w:sz w:val="22"/>
                <w:szCs w:val="22"/>
              </w:rPr>
              <w:t>Supply of accommodation under employee benefit which relates to an exempt supply under the GST (Exempt Supply) Order 2014 is considered as used for the purpose of business. The employer is not required to account for GST on the supply of accommodation and is not entitled to claim the input tax incurred on the acquisition of the accommodation.</w:t>
            </w:r>
          </w:p>
          <w:p w:rsidR="00D609E5" w:rsidRPr="00D609E5" w:rsidRDefault="00D609E5" w:rsidP="00D609E5">
            <w:pPr>
              <w:tabs>
                <w:tab w:val="left" w:pos="667"/>
              </w:tabs>
              <w:spacing w:before="128" w:line="274" w:lineRule="exact"/>
              <w:ind w:right="104"/>
              <w:jc w:val="both"/>
              <w:rPr>
                <w:rFonts w:ascii="Arial" w:eastAsia="Arial" w:hAnsi="Arial" w:cs="Arial"/>
              </w:rPr>
            </w:pPr>
          </w:p>
        </w:tc>
        <w:tc>
          <w:tcPr>
            <w:tcW w:w="4110" w:type="dxa"/>
            <w:shd w:val="clear" w:color="auto" w:fill="auto"/>
            <w:vAlign w:val="center"/>
          </w:tcPr>
          <w:p w:rsidR="00D9261A" w:rsidRDefault="00D9261A" w:rsidP="004A4646">
            <w:pPr>
              <w:pStyle w:val="BodyText"/>
              <w:kinsoku w:val="0"/>
              <w:overflowPunct w:val="0"/>
              <w:spacing w:before="120" w:after="120"/>
              <w:ind w:left="0" w:right="357" w:firstLine="0"/>
              <w:jc w:val="center"/>
              <w:rPr>
                <w:b/>
                <w:sz w:val="22"/>
                <w:szCs w:val="22"/>
              </w:rPr>
            </w:pPr>
          </w:p>
        </w:tc>
      </w:tr>
    </w:tbl>
    <w:p w:rsidR="004E2929" w:rsidRDefault="004E2929" w:rsidP="00731671"/>
    <w:tbl>
      <w:tblPr>
        <w:tblStyle w:val="TableGrid"/>
        <w:tblW w:w="14283" w:type="dxa"/>
        <w:tblLayout w:type="fixed"/>
        <w:tblLook w:val="04A0" w:firstRow="1" w:lastRow="0" w:firstColumn="1" w:lastColumn="0" w:noHBand="0" w:noVBand="1"/>
      </w:tblPr>
      <w:tblGrid>
        <w:gridCol w:w="817"/>
        <w:gridCol w:w="4111"/>
        <w:gridCol w:w="5245"/>
        <w:gridCol w:w="4110"/>
      </w:tblGrid>
      <w:tr w:rsidR="00D609E5" w:rsidTr="002A25C2">
        <w:tc>
          <w:tcPr>
            <w:tcW w:w="14283" w:type="dxa"/>
            <w:gridSpan w:val="4"/>
            <w:shd w:val="clear" w:color="auto" w:fill="A6A6A6" w:themeFill="background1" w:themeFillShade="A6"/>
            <w:vAlign w:val="center"/>
          </w:tcPr>
          <w:p w:rsidR="00D609E5" w:rsidRPr="009504EE" w:rsidRDefault="00D609E5" w:rsidP="002A25C2">
            <w:pPr>
              <w:pStyle w:val="BodyText"/>
              <w:kinsoku w:val="0"/>
              <w:overflowPunct w:val="0"/>
              <w:spacing w:before="120" w:after="120"/>
              <w:ind w:left="0" w:right="357" w:firstLine="0"/>
              <w:jc w:val="center"/>
              <w:rPr>
                <w:b/>
                <w:bCs/>
                <w:sz w:val="22"/>
                <w:szCs w:val="22"/>
              </w:rPr>
            </w:pPr>
            <w:r w:rsidRPr="009504EE">
              <w:rPr>
                <w:b/>
                <w:bCs/>
                <w:spacing w:val="-1"/>
                <w:sz w:val="22"/>
                <w:szCs w:val="22"/>
              </w:rPr>
              <w:t>GST</w:t>
            </w:r>
            <w:r w:rsidRPr="009504EE">
              <w:rPr>
                <w:b/>
                <w:bCs/>
                <w:spacing w:val="2"/>
                <w:sz w:val="22"/>
                <w:szCs w:val="22"/>
              </w:rPr>
              <w:t xml:space="preserve"> </w:t>
            </w:r>
            <w:r w:rsidR="00745987">
              <w:rPr>
                <w:b/>
                <w:bCs/>
                <w:sz w:val="22"/>
                <w:szCs w:val="22"/>
              </w:rPr>
              <w:t>DG’S DECISIONS 8</w:t>
            </w:r>
            <w:r w:rsidRPr="009504EE">
              <w:rPr>
                <w:b/>
                <w:bCs/>
                <w:sz w:val="22"/>
                <w:szCs w:val="22"/>
              </w:rPr>
              <w:t>-2015</w:t>
            </w:r>
          </w:p>
        </w:tc>
      </w:tr>
      <w:tr w:rsidR="00D609E5" w:rsidTr="002A25C2">
        <w:tc>
          <w:tcPr>
            <w:tcW w:w="817" w:type="dxa"/>
            <w:shd w:val="clear" w:color="auto" w:fill="A6A6A6" w:themeFill="background1" w:themeFillShade="A6"/>
            <w:vAlign w:val="center"/>
          </w:tcPr>
          <w:p w:rsidR="00D609E5" w:rsidRPr="009504EE" w:rsidRDefault="00D609E5" w:rsidP="002A25C2">
            <w:pPr>
              <w:pStyle w:val="TableParagraph"/>
              <w:kinsoku w:val="0"/>
              <w:overflowPunct w:val="0"/>
              <w:spacing w:line="266" w:lineRule="exact"/>
              <w:ind w:left="104"/>
              <w:jc w:val="center"/>
              <w:rPr>
                <w:sz w:val="22"/>
                <w:szCs w:val="22"/>
              </w:rPr>
            </w:pPr>
            <w:r w:rsidRPr="009504EE">
              <w:rPr>
                <w:rFonts w:ascii="Arial" w:hAnsi="Arial" w:cs="Arial"/>
                <w:b/>
                <w:bCs/>
                <w:spacing w:val="-2"/>
                <w:sz w:val="22"/>
                <w:szCs w:val="22"/>
              </w:rPr>
              <w:t>NO.</w:t>
            </w:r>
          </w:p>
        </w:tc>
        <w:tc>
          <w:tcPr>
            <w:tcW w:w="4111" w:type="dxa"/>
            <w:shd w:val="clear" w:color="auto" w:fill="A6A6A6" w:themeFill="background1" w:themeFillShade="A6"/>
            <w:vAlign w:val="center"/>
          </w:tcPr>
          <w:p w:rsidR="00D609E5" w:rsidRPr="009504EE" w:rsidRDefault="00D609E5" w:rsidP="002A25C2">
            <w:pPr>
              <w:pStyle w:val="TableParagraph"/>
              <w:kinsoku w:val="0"/>
              <w:overflowPunct w:val="0"/>
              <w:spacing w:before="120" w:after="120" w:line="266" w:lineRule="exact"/>
              <w:ind w:left="104"/>
              <w:jc w:val="center"/>
              <w:rPr>
                <w:sz w:val="22"/>
                <w:szCs w:val="22"/>
              </w:rPr>
            </w:pPr>
            <w:r w:rsidRPr="009504EE">
              <w:rPr>
                <w:rFonts w:ascii="Arial" w:hAnsi="Arial" w:cs="Arial"/>
                <w:b/>
                <w:bCs/>
                <w:spacing w:val="-2"/>
                <w:sz w:val="22"/>
                <w:szCs w:val="22"/>
              </w:rPr>
              <w:t>ISSUES</w:t>
            </w:r>
          </w:p>
        </w:tc>
        <w:tc>
          <w:tcPr>
            <w:tcW w:w="5245" w:type="dxa"/>
            <w:shd w:val="clear" w:color="auto" w:fill="A6A6A6" w:themeFill="background1" w:themeFillShade="A6"/>
            <w:vAlign w:val="center"/>
          </w:tcPr>
          <w:p w:rsidR="00D609E5" w:rsidRPr="009504EE" w:rsidRDefault="00D609E5" w:rsidP="002A25C2">
            <w:pPr>
              <w:pStyle w:val="TableParagraph"/>
              <w:kinsoku w:val="0"/>
              <w:overflowPunct w:val="0"/>
              <w:spacing w:before="120" w:after="120" w:line="266" w:lineRule="exact"/>
              <w:ind w:left="99"/>
              <w:jc w:val="center"/>
              <w:rPr>
                <w:sz w:val="22"/>
                <w:szCs w:val="22"/>
              </w:rPr>
            </w:pPr>
            <w:r w:rsidRPr="009504EE">
              <w:rPr>
                <w:rFonts w:ascii="Arial" w:hAnsi="Arial" w:cs="Arial"/>
                <w:b/>
                <w:bCs/>
                <w:spacing w:val="-2"/>
                <w:sz w:val="22"/>
                <w:szCs w:val="22"/>
              </w:rPr>
              <w:t>RMC</w:t>
            </w:r>
            <w:r w:rsidRPr="009504EE">
              <w:rPr>
                <w:rFonts w:ascii="Arial" w:hAnsi="Arial" w:cs="Arial"/>
                <w:b/>
                <w:bCs/>
                <w:sz w:val="22"/>
                <w:szCs w:val="22"/>
              </w:rPr>
              <w:t xml:space="preserve"> </w:t>
            </w:r>
            <w:r w:rsidRPr="009504EE">
              <w:rPr>
                <w:rFonts w:ascii="Arial" w:hAnsi="Arial" w:cs="Arial"/>
                <w:b/>
                <w:bCs/>
                <w:spacing w:val="-1"/>
                <w:sz w:val="22"/>
                <w:szCs w:val="22"/>
              </w:rPr>
              <w:t>DECISION</w:t>
            </w:r>
          </w:p>
        </w:tc>
        <w:tc>
          <w:tcPr>
            <w:tcW w:w="4110" w:type="dxa"/>
            <w:shd w:val="clear" w:color="auto" w:fill="A6A6A6" w:themeFill="background1" w:themeFillShade="A6"/>
            <w:vAlign w:val="center"/>
          </w:tcPr>
          <w:p w:rsidR="00D609E5" w:rsidRPr="009504EE" w:rsidRDefault="00D609E5" w:rsidP="002A25C2">
            <w:pPr>
              <w:pStyle w:val="BodyText"/>
              <w:kinsoku w:val="0"/>
              <w:overflowPunct w:val="0"/>
              <w:spacing w:before="120" w:after="120"/>
              <w:ind w:left="0" w:right="357" w:firstLine="0"/>
              <w:jc w:val="center"/>
              <w:rPr>
                <w:b/>
                <w:sz w:val="22"/>
                <w:szCs w:val="22"/>
              </w:rPr>
            </w:pPr>
            <w:r>
              <w:rPr>
                <w:b/>
                <w:sz w:val="22"/>
                <w:szCs w:val="22"/>
              </w:rPr>
              <w:t>MEMBERS</w:t>
            </w:r>
            <w:r w:rsidRPr="009504EE">
              <w:rPr>
                <w:b/>
                <w:sz w:val="22"/>
                <w:szCs w:val="22"/>
              </w:rPr>
              <w:t xml:space="preserve"> COMMENTS</w:t>
            </w:r>
          </w:p>
        </w:tc>
      </w:tr>
      <w:tr w:rsidR="00D609E5" w:rsidTr="002A25C2">
        <w:tc>
          <w:tcPr>
            <w:tcW w:w="817" w:type="dxa"/>
            <w:shd w:val="clear" w:color="auto" w:fill="auto"/>
          </w:tcPr>
          <w:p w:rsidR="00D609E5" w:rsidRPr="00291642" w:rsidRDefault="00D609E5" w:rsidP="002A25C2">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Cont.1</w:t>
            </w:r>
          </w:p>
        </w:tc>
        <w:tc>
          <w:tcPr>
            <w:tcW w:w="4111" w:type="dxa"/>
            <w:shd w:val="clear" w:color="auto" w:fill="auto"/>
          </w:tcPr>
          <w:p w:rsidR="00D609E5" w:rsidRPr="00252461" w:rsidRDefault="00D609E5" w:rsidP="00D609E5">
            <w:pPr>
              <w:pStyle w:val="TableParagraph"/>
              <w:kinsoku w:val="0"/>
              <w:overflowPunct w:val="0"/>
              <w:spacing w:before="120" w:after="120" w:line="266" w:lineRule="exact"/>
              <w:ind w:left="360"/>
              <w:jc w:val="both"/>
              <w:rPr>
                <w:rFonts w:ascii="Arial" w:hAnsi="Arial" w:cs="Arial"/>
                <w:bCs/>
                <w:spacing w:val="-2"/>
                <w:sz w:val="22"/>
                <w:szCs w:val="22"/>
              </w:rPr>
            </w:pPr>
          </w:p>
        </w:tc>
        <w:tc>
          <w:tcPr>
            <w:tcW w:w="5245" w:type="dxa"/>
            <w:shd w:val="clear" w:color="auto" w:fill="auto"/>
          </w:tcPr>
          <w:p w:rsidR="00D609E5" w:rsidRPr="00F66D08" w:rsidRDefault="00D609E5" w:rsidP="00745987">
            <w:pPr>
              <w:pStyle w:val="ListParagraph"/>
              <w:numPr>
                <w:ilvl w:val="0"/>
                <w:numId w:val="2"/>
              </w:numPr>
              <w:tabs>
                <w:tab w:val="left" w:pos="667"/>
              </w:tabs>
              <w:spacing w:before="128" w:line="274" w:lineRule="exact"/>
              <w:ind w:right="104"/>
              <w:jc w:val="both"/>
              <w:rPr>
                <w:rFonts w:ascii="Arial" w:eastAsia="Arial" w:hAnsi="Arial" w:cs="Arial"/>
                <w:sz w:val="22"/>
                <w:szCs w:val="22"/>
              </w:rPr>
            </w:pPr>
            <w:r w:rsidRPr="00F66D08">
              <w:rPr>
                <w:rFonts w:ascii="Arial" w:eastAsia="Arial" w:hAnsi="Arial" w:cs="Arial"/>
                <w:sz w:val="22"/>
                <w:szCs w:val="22"/>
              </w:rPr>
              <w:t>However, in the case where –</w:t>
            </w:r>
          </w:p>
          <w:p w:rsidR="00D609E5" w:rsidRPr="00D609E5" w:rsidRDefault="00D609E5" w:rsidP="00D609E5">
            <w:pPr>
              <w:tabs>
                <w:tab w:val="left" w:pos="667"/>
              </w:tabs>
              <w:spacing w:before="128" w:line="274" w:lineRule="exact"/>
              <w:ind w:left="360" w:right="104"/>
              <w:jc w:val="both"/>
              <w:rPr>
                <w:rFonts w:ascii="Arial" w:eastAsia="Arial" w:hAnsi="Arial" w:cs="Arial"/>
              </w:rPr>
            </w:pPr>
            <w:r w:rsidRPr="00F66D08">
              <w:rPr>
                <w:rFonts w:ascii="Arial" w:eastAsia="Arial" w:hAnsi="Arial" w:cs="Arial"/>
              </w:rPr>
              <w:t xml:space="preserve">(a) </w:t>
            </w:r>
            <w:proofErr w:type="gramStart"/>
            <w:r w:rsidRPr="00F66D08">
              <w:rPr>
                <w:rFonts w:ascii="Arial" w:eastAsia="Arial" w:hAnsi="Arial" w:cs="Arial"/>
              </w:rPr>
              <w:t>the</w:t>
            </w:r>
            <w:proofErr w:type="gramEnd"/>
            <w:r w:rsidRPr="00F66D08">
              <w:rPr>
                <w:rFonts w:ascii="Arial" w:eastAsia="Arial" w:hAnsi="Arial" w:cs="Arial"/>
              </w:rPr>
              <w:t xml:space="preserve"> supply of accommodation is inclusive </w:t>
            </w:r>
            <w:r w:rsidRPr="00D609E5">
              <w:rPr>
                <w:rFonts w:ascii="Arial" w:eastAsia="Arial" w:hAnsi="Arial" w:cs="Arial"/>
              </w:rPr>
              <w:t>of furniture, the supply of furn</w:t>
            </w:r>
            <w:bookmarkStart w:id="0" w:name="_GoBack"/>
            <w:bookmarkEnd w:id="0"/>
            <w:r w:rsidRPr="00D609E5">
              <w:rPr>
                <w:rFonts w:ascii="Arial" w:eastAsia="Arial" w:hAnsi="Arial" w:cs="Arial"/>
              </w:rPr>
              <w:t>iture whether or not for consideration is subject to GST. The employer is liable to account for GST accordingly and is entitle to claim input tax incurred on the acquisition of the furniture.</w:t>
            </w:r>
          </w:p>
          <w:p w:rsidR="00D609E5" w:rsidRPr="00D609E5" w:rsidRDefault="00D609E5" w:rsidP="00D609E5">
            <w:pPr>
              <w:tabs>
                <w:tab w:val="left" w:pos="667"/>
              </w:tabs>
              <w:spacing w:before="128" w:line="274" w:lineRule="exact"/>
              <w:ind w:left="360" w:right="104"/>
              <w:jc w:val="both"/>
              <w:rPr>
                <w:rFonts w:ascii="Arial" w:eastAsia="Arial" w:hAnsi="Arial" w:cs="Arial"/>
              </w:rPr>
            </w:pPr>
            <w:r w:rsidRPr="00D609E5">
              <w:rPr>
                <w:rFonts w:ascii="Arial" w:eastAsia="Arial" w:hAnsi="Arial" w:cs="Arial"/>
              </w:rPr>
              <w:t xml:space="preserve">(b) </w:t>
            </w:r>
            <w:proofErr w:type="gramStart"/>
            <w:r w:rsidRPr="00D609E5">
              <w:rPr>
                <w:rFonts w:ascii="Arial" w:eastAsia="Arial" w:hAnsi="Arial" w:cs="Arial"/>
              </w:rPr>
              <w:t>the</w:t>
            </w:r>
            <w:proofErr w:type="gramEnd"/>
            <w:r w:rsidRPr="00D609E5">
              <w:rPr>
                <w:rFonts w:ascii="Arial" w:eastAsia="Arial" w:hAnsi="Arial" w:cs="Arial"/>
              </w:rPr>
              <w:t xml:space="preserve"> supply of accommodation to the employee, benefit of the employee’s family irrespective whether it is furnished or unfurnished, the employer is blocked from claiming the input tax incurred.</w:t>
            </w:r>
          </w:p>
        </w:tc>
        <w:tc>
          <w:tcPr>
            <w:tcW w:w="4110" w:type="dxa"/>
            <w:shd w:val="clear" w:color="auto" w:fill="auto"/>
            <w:vAlign w:val="center"/>
          </w:tcPr>
          <w:p w:rsidR="00D609E5" w:rsidRDefault="00D609E5" w:rsidP="002A25C2">
            <w:pPr>
              <w:pStyle w:val="BodyText"/>
              <w:kinsoku w:val="0"/>
              <w:overflowPunct w:val="0"/>
              <w:spacing w:before="120" w:after="120"/>
              <w:ind w:left="0" w:right="357" w:firstLine="0"/>
              <w:jc w:val="center"/>
              <w:rPr>
                <w:b/>
                <w:sz w:val="22"/>
                <w:szCs w:val="22"/>
              </w:rPr>
            </w:pPr>
          </w:p>
        </w:tc>
      </w:tr>
    </w:tbl>
    <w:p w:rsidR="00D609E5" w:rsidRDefault="00D609E5" w:rsidP="00731671"/>
    <w:p w:rsidR="00D609E5" w:rsidRDefault="00D609E5" w:rsidP="00731671"/>
    <w:p w:rsidR="00D609E5" w:rsidRDefault="00D609E5" w:rsidP="00731671"/>
    <w:p w:rsidR="00D609E5" w:rsidRDefault="00D609E5" w:rsidP="00731671"/>
    <w:p w:rsidR="00D609E5" w:rsidRDefault="00D609E5" w:rsidP="00731671"/>
    <w:p w:rsidR="00D609E5" w:rsidRDefault="00D609E5" w:rsidP="00731671"/>
    <w:p w:rsidR="00D609E5" w:rsidRDefault="00D609E5" w:rsidP="00731671"/>
    <w:p w:rsidR="00D609E5" w:rsidRDefault="00D609E5" w:rsidP="00731671"/>
    <w:tbl>
      <w:tblPr>
        <w:tblStyle w:val="TableGrid"/>
        <w:tblW w:w="14283" w:type="dxa"/>
        <w:tblLayout w:type="fixed"/>
        <w:tblLook w:val="04A0" w:firstRow="1" w:lastRow="0" w:firstColumn="1" w:lastColumn="0" w:noHBand="0" w:noVBand="1"/>
      </w:tblPr>
      <w:tblGrid>
        <w:gridCol w:w="817"/>
        <w:gridCol w:w="4111"/>
        <w:gridCol w:w="5245"/>
        <w:gridCol w:w="4110"/>
      </w:tblGrid>
      <w:tr w:rsidR="00D609E5" w:rsidTr="002A25C2">
        <w:tc>
          <w:tcPr>
            <w:tcW w:w="14283" w:type="dxa"/>
            <w:gridSpan w:val="4"/>
            <w:shd w:val="clear" w:color="auto" w:fill="A6A6A6" w:themeFill="background1" w:themeFillShade="A6"/>
            <w:vAlign w:val="center"/>
          </w:tcPr>
          <w:p w:rsidR="00D609E5" w:rsidRPr="009504EE" w:rsidRDefault="00D609E5" w:rsidP="002A25C2">
            <w:pPr>
              <w:pStyle w:val="BodyText"/>
              <w:kinsoku w:val="0"/>
              <w:overflowPunct w:val="0"/>
              <w:spacing w:before="120" w:after="120"/>
              <w:ind w:left="0" w:right="357" w:firstLine="0"/>
              <w:jc w:val="center"/>
              <w:rPr>
                <w:b/>
                <w:bCs/>
                <w:sz w:val="22"/>
                <w:szCs w:val="22"/>
              </w:rPr>
            </w:pPr>
            <w:r w:rsidRPr="009504EE">
              <w:rPr>
                <w:b/>
                <w:bCs/>
                <w:spacing w:val="-1"/>
                <w:sz w:val="22"/>
                <w:szCs w:val="22"/>
              </w:rPr>
              <w:t>GST</w:t>
            </w:r>
            <w:r w:rsidRPr="009504EE">
              <w:rPr>
                <w:b/>
                <w:bCs/>
                <w:spacing w:val="2"/>
                <w:sz w:val="22"/>
                <w:szCs w:val="22"/>
              </w:rPr>
              <w:t xml:space="preserve"> </w:t>
            </w:r>
            <w:r w:rsidR="00745987">
              <w:rPr>
                <w:b/>
                <w:bCs/>
                <w:sz w:val="22"/>
                <w:szCs w:val="22"/>
              </w:rPr>
              <w:t>DG’S DECISIONS 8</w:t>
            </w:r>
            <w:r w:rsidRPr="009504EE">
              <w:rPr>
                <w:b/>
                <w:bCs/>
                <w:sz w:val="22"/>
                <w:szCs w:val="22"/>
              </w:rPr>
              <w:t>-2015</w:t>
            </w:r>
          </w:p>
        </w:tc>
      </w:tr>
      <w:tr w:rsidR="00D609E5" w:rsidTr="002A25C2">
        <w:tc>
          <w:tcPr>
            <w:tcW w:w="817" w:type="dxa"/>
            <w:shd w:val="clear" w:color="auto" w:fill="A6A6A6" w:themeFill="background1" w:themeFillShade="A6"/>
            <w:vAlign w:val="center"/>
          </w:tcPr>
          <w:p w:rsidR="00D609E5" w:rsidRPr="009504EE" w:rsidRDefault="00D609E5" w:rsidP="002A25C2">
            <w:pPr>
              <w:pStyle w:val="TableParagraph"/>
              <w:kinsoku w:val="0"/>
              <w:overflowPunct w:val="0"/>
              <w:spacing w:line="266" w:lineRule="exact"/>
              <w:ind w:left="104"/>
              <w:jc w:val="center"/>
              <w:rPr>
                <w:sz w:val="22"/>
                <w:szCs w:val="22"/>
              </w:rPr>
            </w:pPr>
            <w:r w:rsidRPr="009504EE">
              <w:rPr>
                <w:rFonts w:ascii="Arial" w:hAnsi="Arial" w:cs="Arial"/>
                <w:b/>
                <w:bCs/>
                <w:spacing w:val="-2"/>
                <w:sz w:val="22"/>
                <w:szCs w:val="22"/>
              </w:rPr>
              <w:t>NO.</w:t>
            </w:r>
          </w:p>
        </w:tc>
        <w:tc>
          <w:tcPr>
            <w:tcW w:w="4111" w:type="dxa"/>
            <w:shd w:val="clear" w:color="auto" w:fill="A6A6A6" w:themeFill="background1" w:themeFillShade="A6"/>
            <w:vAlign w:val="center"/>
          </w:tcPr>
          <w:p w:rsidR="00D609E5" w:rsidRPr="009504EE" w:rsidRDefault="00D609E5" w:rsidP="002A25C2">
            <w:pPr>
              <w:pStyle w:val="TableParagraph"/>
              <w:kinsoku w:val="0"/>
              <w:overflowPunct w:val="0"/>
              <w:spacing w:before="120" w:after="120" w:line="266" w:lineRule="exact"/>
              <w:ind w:left="104"/>
              <w:jc w:val="center"/>
              <w:rPr>
                <w:sz w:val="22"/>
                <w:szCs w:val="22"/>
              </w:rPr>
            </w:pPr>
            <w:r w:rsidRPr="009504EE">
              <w:rPr>
                <w:rFonts w:ascii="Arial" w:hAnsi="Arial" w:cs="Arial"/>
                <w:b/>
                <w:bCs/>
                <w:spacing w:val="-2"/>
                <w:sz w:val="22"/>
                <w:szCs w:val="22"/>
              </w:rPr>
              <w:t>ISSUES</w:t>
            </w:r>
          </w:p>
        </w:tc>
        <w:tc>
          <w:tcPr>
            <w:tcW w:w="5245" w:type="dxa"/>
            <w:shd w:val="clear" w:color="auto" w:fill="A6A6A6" w:themeFill="background1" w:themeFillShade="A6"/>
            <w:vAlign w:val="center"/>
          </w:tcPr>
          <w:p w:rsidR="00D609E5" w:rsidRPr="009504EE" w:rsidRDefault="00D609E5" w:rsidP="002A25C2">
            <w:pPr>
              <w:pStyle w:val="TableParagraph"/>
              <w:kinsoku w:val="0"/>
              <w:overflowPunct w:val="0"/>
              <w:spacing w:before="120" w:after="120" w:line="266" w:lineRule="exact"/>
              <w:ind w:left="99"/>
              <w:jc w:val="center"/>
              <w:rPr>
                <w:sz w:val="22"/>
                <w:szCs w:val="22"/>
              </w:rPr>
            </w:pPr>
            <w:r w:rsidRPr="009504EE">
              <w:rPr>
                <w:rFonts w:ascii="Arial" w:hAnsi="Arial" w:cs="Arial"/>
                <w:b/>
                <w:bCs/>
                <w:spacing w:val="-2"/>
                <w:sz w:val="22"/>
                <w:szCs w:val="22"/>
              </w:rPr>
              <w:t>RMC</w:t>
            </w:r>
            <w:r w:rsidRPr="009504EE">
              <w:rPr>
                <w:rFonts w:ascii="Arial" w:hAnsi="Arial" w:cs="Arial"/>
                <w:b/>
                <w:bCs/>
                <w:sz w:val="22"/>
                <w:szCs w:val="22"/>
              </w:rPr>
              <w:t xml:space="preserve"> </w:t>
            </w:r>
            <w:r w:rsidRPr="009504EE">
              <w:rPr>
                <w:rFonts w:ascii="Arial" w:hAnsi="Arial" w:cs="Arial"/>
                <w:b/>
                <w:bCs/>
                <w:spacing w:val="-1"/>
                <w:sz w:val="22"/>
                <w:szCs w:val="22"/>
              </w:rPr>
              <w:t>DECISION</w:t>
            </w:r>
          </w:p>
        </w:tc>
        <w:tc>
          <w:tcPr>
            <w:tcW w:w="4110" w:type="dxa"/>
            <w:shd w:val="clear" w:color="auto" w:fill="A6A6A6" w:themeFill="background1" w:themeFillShade="A6"/>
            <w:vAlign w:val="center"/>
          </w:tcPr>
          <w:p w:rsidR="00D609E5" w:rsidRPr="009504EE" w:rsidRDefault="00D609E5" w:rsidP="002A25C2">
            <w:pPr>
              <w:pStyle w:val="BodyText"/>
              <w:kinsoku w:val="0"/>
              <w:overflowPunct w:val="0"/>
              <w:spacing w:before="120" w:after="120"/>
              <w:ind w:left="0" w:right="357" w:firstLine="0"/>
              <w:jc w:val="center"/>
              <w:rPr>
                <w:b/>
                <w:sz w:val="22"/>
                <w:szCs w:val="22"/>
              </w:rPr>
            </w:pPr>
            <w:r>
              <w:rPr>
                <w:b/>
                <w:sz w:val="22"/>
                <w:szCs w:val="22"/>
              </w:rPr>
              <w:t>MEMBERS</w:t>
            </w:r>
            <w:r w:rsidRPr="009504EE">
              <w:rPr>
                <w:b/>
                <w:sz w:val="22"/>
                <w:szCs w:val="22"/>
              </w:rPr>
              <w:t xml:space="preserve"> COMMENTS</w:t>
            </w:r>
          </w:p>
        </w:tc>
      </w:tr>
      <w:tr w:rsidR="00D609E5" w:rsidTr="00D609E5">
        <w:trPr>
          <w:trHeight w:val="3725"/>
        </w:trPr>
        <w:tc>
          <w:tcPr>
            <w:tcW w:w="817" w:type="dxa"/>
            <w:shd w:val="clear" w:color="auto" w:fill="auto"/>
          </w:tcPr>
          <w:p w:rsidR="00D609E5" w:rsidRPr="00291642" w:rsidRDefault="00D609E5" w:rsidP="002A25C2">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2</w:t>
            </w:r>
          </w:p>
        </w:tc>
        <w:tc>
          <w:tcPr>
            <w:tcW w:w="4111" w:type="dxa"/>
            <w:shd w:val="clear" w:color="auto" w:fill="auto"/>
          </w:tcPr>
          <w:p w:rsidR="00D609E5" w:rsidRPr="00252461" w:rsidRDefault="00D609E5" w:rsidP="00D609E5">
            <w:pPr>
              <w:pStyle w:val="TableParagraph"/>
              <w:kinsoku w:val="0"/>
              <w:overflowPunct w:val="0"/>
              <w:spacing w:before="120" w:after="120" w:line="266" w:lineRule="exact"/>
              <w:jc w:val="both"/>
              <w:rPr>
                <w:rFonts w:ascii="Arial" w:hAnsi="Arial" w:cs="Arial"/>
                <w:bCs/>
                <w:spacing w:val="-2"/>
                <w:sz w:val="22"/>
                <w:szCs w:val="22"/>
              </w:rPr>
            </w:pPr>
            <w:r w:rsidRPr="00D609E5">
              <w:rPr>
                <w:rFonts w:ascii="Arial" w:hAnsi="Arial" w:cs="Arial"/>
                <w:bCs/>
                <w:spacing w:val="-2"/>
                <w:sz w:val="22"/>
                <w:szCs w:val="22"/>
              </w:rPr>
              <w:t>Whether the equipment provided by the employer in relation to safety and security requirement under the Occupational Health and Safety Act 1994 is considered as employee benefit?</w:t>
            </w:r>
          </w:p>
        </w:tc>
        <w:tc>
          <w:tcPr>
            <w:tcW w:w="5245" w:type="dxa"/>
            <w:shd w:val="clear" w:color="auto" w:fill="auto"/>
          </w:tcPr>
          <w:p w:rsidR="00D609E5" w:rsidRPr="00D609E5" w:rsidRDefault="00D609E5" w:rsidP="00745987">
            <w:pPr>
              <w:pStyle w:val="ListParagraph"/>
              <w:numPr>
                <w:ilvl w:val="0"/>
                <w:numId w:val="3"/>
              </w:numPr>
              <w:tabs>
                <w:tab w:val="left" w:pos="667"/>
              </w:tabs>
              <w:spacing w:before="128" w:line="274" w:lineRule="exact"/>
              <w:ind w:right="104"/>
              <w:jc w:val="both"/>
              <w:rPr>
                <w:rFonts w:ascii="Arial" w:eastAsia="Arial" w:hAnsi="Arial" w:cs="Arial"/>
                <w:sz w:val="22"/>
              </w:rPr>
            </w:pPr>
            <w:r w:rsidRPr="00D609E5">
              <w:rPr>
                <w:rFonts w:ascii="Arial" w:eastAsia="Arial" w:hAnsi="Arial" w:cs="Arial"/>
                <w:sz w:val="22"/>
              </w:rPr>
              <w:t>Safety and security equipment provided by an employer to the employee for free of charge is considered as employee benefit as long as it is stated in the contract of employment.</w:t>
            </w:r>
          </w:p>
          <w:p w:rsidR="00D609E5" w:rsidRPr="00D609E5" w:rsidRDefault="00D609E5" w:rsidP="00745987">
            <w:pPr>
              <w:pStyle w:val="ListParagraph"/>
              <w:numPr>
                <w:ilvl w:val="0"/>
                <w:numId w:val="3"/>
              </w:numPr>
              <w:tabs>
                <w:tab w:val="left" w:pos="667"/>
              </w:tabs>
              <w:spacing w:before="128" w:line="274" w:lineRule="exact"/>
              <w:ind w:right="104"/>
              <w:jc w:val="both"/>
              <w:rPr>
                <w:rFonts w:ascii="Arial" w:eastAsia="Arial" w:hAnsi="Arial" w:cs="Arial"/>
              </w:rPr>
            </w:pPr>
            <w:r w:rsidRPr="00D609E5">
              <w:rPr>
                <w:rFonts w:ascii="Arial" w:eastAsia="Arial" w:hAnsi="Arial" w:cs="Arial"/>
                <w:sz w:val="22"/>
              </w:rPr>
              <w:t>In the case where the employer supplies safety and security equipment for free of charge to the employee and the supply is not stated in the contract of employment, such supply will not be considered as employee benefit. Therefore, the employer is liable to account for the GST and entitle to claim the input tax incurred on the purchase of such equipment. However, where –</w:t>
            </w:r>
          </w:p>
          <w:p w:rsidR="00D609E5" w:rsidRPr="00D609E5" w:rsidRDefault="00D609E5" w:rsidP="00745987">
            <w:pPr>
              <w:pStyle w:val="ListParagraph"/>
              <w:numPr>
                <w:ilvl w:val="0"/>
                <w:numId w:val="4"/>
              </w:numPr>
              <w:tabs>
                <w:tab w:val="left" w:pos="667"/>
              </w:tabs>
              <w:spacing w:before="128" w:line="274" w:lineRule="exact"/>
              <w:ind w:right="104"/>
              <w:jc w:val="both"/>
              <w:rPr>
                <w:rFonts w:ascii="Arial" w:eastAsia="Arial" w:hAnsi="Arial" w:cs="Arial"/>
              </w:rPr>
            </w:pPr>
            <w:r>
              <w:rPr>
                <w:rFonts w:ascii="Arial" w:eastAsia="Arial" w:hAnsi="Arial" w:cs="Arial"/>
                <w:sz w:val="22"/>
              </w:rPr>
              <w:t xml:space="preserve"> </w:t>
            </w:r>
            <w:r w:rsidRPr="00D609E5">
              <w:rPr>
                <w:rFonts w:ascii="Arial" w:eastAsia="Arial" w:hAnsi="Arial" w:cs="Arial"/>
                <w:sz w:val="22"/>
              </w:rPr>
              <w:t>the supply of such equipment involves transfer or change of ownership to the employee, such supply is</w:t>
            </w:r>
            <w:r>
              <w:rPr>
                <w:rFonts w:ascii="Arial" w:eastAsia="Arial" w:hAnsi="Arial" w:cs="Arial"/>
                <w:sz w:val="22"/>
              </w:rPr>
              <w:t xml:space="preserve"> </w:t>
            </w:r>
            <w:r w:rsidRPr="00D609E5">
              <w:rPr>
                <w:rFonts w:ascii="Arial" w:eastAsia="Arial" w:hAnsi="Arial" w:cs="Arial"/>
                <w:sz w:val="22"/>
              </w:rPr>
              <w:t>subject to gift rule under item 5(2)(a)of First Schedule of GSTA 2014; or</w:t>
            </w:r>
          </w:p>
          <w:p w:rsidR="00D609E5" w:rsidRPr="00D609E5" w:rsidRDefault="00D609E5" w:rsidP="00745987">
            <w:pPr>
              <w:pStyle w:val="ListParagraph"/>
              <w:numPr>
                <w:ilvl w:val="0"/>
                <w:numId w:val="4"/>
              </w:numPr>
              <w:tabs>
                <w:tab w:val="left" w:pos="667"/>
              </w:tabs>
              <w:spacing w:before="128" w:line="274" w:lineRule="exact"/>
              <w:ind w:right="104"/>
              <w:jc w:val="both"/>
              <w:rPr>
                <w:rFonts w:ascii="Arial" w:eastAsia="Arial" w:hAnsi="Arial" w:cs="Arial"/>
              </w:rPr>
            </w:pPr>
            <w:r>
              <w:rPr>
                <w:rFonts w:ascii="Arial" w:eastAsia="Arial" w:hAnsi="Arial" w:cs="Arial"/>
              </w:rPr>
              <w:t xml:space="preserve"> </w:t>
            </w:r>
            <w:proofErr w:type="gramStart"/>
            <w:r w:rsidRPr="00D609E5">
              <w:rPr>
                <w:rFonts w:ascii="Arial" w:eastAsia="Arial" w:hAnsi="Arial" w:cs="Arial"/>
                <w:sz w:val="22"/>
              </w:rPr>
              <w:t>the</w:t>
            </w:r>
            <w:proofErr w:type="gramEnd"/>
            <w:r w:rsidRPr="00D609E5">
              <w:rPr>
                <w:rFonts w:ascii="Arial" w:eastAsia="Arial" w:hAnsi="Arial" w:cs="Arial"/>
                <w:sz w:val="22"/>
              </w:rPr>
              <w:t xml:space="preserve"> equipment is subsequently returned to the employer as business asset, the employer is not required to account for the GST.</w:t>
            </w:r>
          </w:p>
        </w:tc>
        <w:tc>
          <w:tcPr>
            <w:tcW w:w="4110" w:type="dxa"/>
            <w:shd w:val="clear" w:color="auto" w:fill="auto"/>
            <w:vAlign w:val="center"/>
          </w:tcPr>
          <w:p w:rsidR="00D609E5" w:rsidRDefault="00D609E5" w:rsidP="002A25C2">
            <w:pPr>
              <w:pStyle w:val="BodyText"/>
              <w:kinsoku w:val="0"/>
              <w:overflowPunct w:val="0"/>
              <w:spacing w:before="120" w:after="120"/>
              <w:ind w:left="0" w:right="357" w:firstLine="0"/>
              <w:jc w:val="center"/>
              <w:rPr>
                <w:b/>
                <w:sz w:val="22"/>
                <w:szCs w:val="22"/>
              </w:rPr>
            </w:pPr>
          </w:p>
        </w:tc>
      </w:tr>
    </w:tbl>
    <w:p w:rsidR="00D609E5" w:rsidRDefault="00D609E5" w:rsidP="00731671"/>
    <w:p w:rsidR="00D609E5" w:rsidRDefault="00D609E5" w:rsidP="00731671"/>
    <w:tbl>
      <w:tblPr>
        <w:tblStyle w:val="TableGrid"/>
        <w:tblW w:w="14283" w:type="dxa"/>
        <w:tblLayout w:type="fixed"/>
        <w:tblLook w:val="04A0" w:firstRow="1" w:lastRow="0" w:firstColumn="1" w:lastColumn="0" w:noHBand="0" w:noVBand="1"/>
      </w:tblPr>
      <w:tblGrid>
        <w:gridCol w:w="817"/>
        <w:gridCol w:w="4111"/>
        <w:gridCol w:w="5245"/>
        <w:gridCol w:w="4110"/>
      </w:tblGrid>
      <w:tr w:rsidR="00D609E5" w:rsidTr="002A25C2">
        <w:tc>
          <w:tcPr>
            <w:tcW w:w="14283" w:type="dxa"/>
            <w:gridSpan w:val="4"/>
            <w:shd w:val="clear" w:color="auto" w:fill="A6A6A6" w:themeFill="background1" w:themeFillShade="A6"/>
            <w:vAlign w:val="center"/>
          </w:tcPr>
          <w:p w:rsidR="00D609E5" w:rsidRPr="009504EE" w:rsidRDefault="00D609E5" w:rsidP="002A25C2">
            <w:pPr>
              <w:pStyle w:val="BodyText"/>
              <w:kinsoku w:val="0"/>
              <w:overflowPunct w:val="0"/>
              <w:spacing w:before="120" w:after="120"/>
              <w:ind w:left="0" w:right="357" w:firstLine="0"/>
              <w:jc w:val="center"/>
              <w:rPr>
                <w:b/>
                <w:bCs/>
                <w:sz w:val="22"/>
                <w:szCs w:val="22"/>
              </w:rPr>
            </w:pPr>
            <w:r w:rsidRPr="009504EE">
              <w:rPr>
                <w:b/>
                <w:bCs/>
                <w:spacing w:val="-1"/>
                <w:sz w:val="22"/>
                <w:szCs w:val="22"/>
              </w:rPr>
              <w:t>GST</w:t>
            </w:r>
            <w:r w:rsidRPr="009504EE">
              <w:rPr>
                <w:b/>
                <w:bCs/>
                <w:spacing w:val="2"/>
                <w:sz w:val="22"/>
                <w:szCs w:val="22"/>
              </w:rPr>
              <w:t xml:space="preserve"> </w:t>
            </w:r>
            <w:r w:rsidR="00745987">
              <w:rPr>
                <w:b/>
                <w:bCs/>
                <w:sz w:val="22"/>
                <w:szCs w:val="22"/>
              </w:rPr>
              <w:t>DG’S DECISIONS 8</w:t>
            </w:r>
            <w:r w:rsidRPr="009504EE">
              <w:rPr>
                <w:b/>
                <w:bCs/>
                <w:sz w:val="22"/>
                <w:szCs w:val="22"/>
              </w:rPr>
              <w:t>-2015</w:t>
            </w:r>
          </w:p>
        </w:tc>
      </w:tr>
      <w:tr w:rsidR="00D609E5" w:rsidTr="002A25C2">
        <w:tc>
          <w:tcPr>
            <w:tcW w:w="817" w:type="dxa"/>
            <w:shd w:val="clear" w:color="auto" w:fill="A6A6A6" w:themeFill="background1" w:themeFillShade="A6"/>
            <w:vAlign w:val="center"/>
          </w:tcPr>
          <w:p w:rsidR="00D609E5" w:rsidRPr="009504EE" w:rsidRDefault="00D609E5" w:rsidP="002A25C2">
            <w:pPr>
              <w:pStyle w:val="TableParagraph"/>
              <w:kinsoku w:val="0"/>
              <w:overflowPunct w:val="0"/>
              <w:spacing w:line="266" w:lineRule="exact"/>
              <w:ind w:left="104"/>
              <w:jc w:val="center"/>
              <w:rPr>
                <w:sz w:val="22"/>
                <w:szCs w:val="22"/>
              </w:rPr>
            </w:pPr>
            <w:r w:rsidRPr="009504EE">
              <w:rPr>
                <w:rFonts w:ascii="Arial" w:hAnsi="Arial" w:cs="Arial"/>
                <w:b/>
                <w:bCs/>
                <w:spacing w:val="-2"/>
                <w:sz w:val="22"/>
                <w:szCs w:val="22"/>
              </w:rPr>
              <w:t>NO.</w:t>
            </w:r>
          </w:p>
        </w:tc>
        <w:tc>
          <w:tcPr>
            <w:tcW w:w="4111" w:type="dxa"/>
            <w:shd w:val="clear" w:color="auto" w:fill="A6A6A6" w:themeFill="background1" w:themeFillShade="A6"/>
            <w:vAlign w:val="center"/>
          </w:tcPr>
          <w:p w:rsidR="00D609E5" w:rsidRPr="009504EE" w:rsidRDefault="00D609E5" w:rsidP="002A25C2">
            <w:pPr>
              <w:pStyle w:val="TableParagraph"/>
              <w:kinsoku w:val="0"/>
              <w:overflowPunct w:val="0"/>
              <w:spacing w:before="120" w:after="120" w:line="266" w:lineRule="exact"/>
              <w:ind w:left="104"/>
              <w:jc w:val="center"/>
              <w:rPr>
                <w:sz w:val="22"/>
                <w:szCs w:val="22"/>
              </w:rPr>
            </w:pPr>
            <w:r w:rsidRPr="009504EE">
              <w:rPr>
                <w:rFonts w:ascii="Arial" w:hAnsi="Arial" w:cs="Arial"/>
                <w:b/>
                <w:bCs/>
                <w:spacing w:val="-2"/>
                <w:sz w:val="22"/>
                <w:szCs w:val="22"/>
              </w:rPr>
              <w:t>ISSUES</w:t>
            </w:r>
          </w:p>
        </w:tc>
        <w:tc>
          <w:tcPr>
            <w:tcW w:w="5245" w:type="dxa"/>
            <w:shd w:val="clear" w:color="auto" w:fill="A6A6A6" w:themeFill="background1" w:themeFillShade="A6"/>
            <w:vAlign w:val="center"/>
          </w:tcPr>
          <w:p w:rsidR="00D609E5" w:rsidRPr="009504EE" w:rsidRDefault="00D609E5" w:rsidP="002A25C2">
            <w:pPr>
              <w:pStyle w:val="TableParagraph"/>
              <w:kinsoku w:val="0"/>
              <w:overflowPunct w:val="0"/>
              <w:spacing w:before="120" w:after="120" w:line="266" w:lineRule="exact"/>
              <w:ind w:left="99"/>
              <w:jc w:val="center"/>
              <w:rPr>
                <w:sz w:val="22"/>
                <w:szCs w:val="22"/>
              </w:rPr>
            </w:pPr>
            <w:r w:rsidRPr="009504EE">
              <w:rPr>
                <w:rFonts w:ascii="Arial" w:hAnsi="Arial" w:cs="Arial"/>
                <w:b/>
                <w:bCs/>
                <w:spacing w:val="-2"/>
                <w:sz w:val="22"/>
                <w:szCs w:val="22"/>
              </w:rPr>
              <w:t>RMC</w:t>
            </w:r>
            <w:r w:rsidRPr="009504EE">
              <w:rPr>
                <w:rFonts w:ascii="Arial" w:hAnsi="Arial" w:cs="Arial"/>
                <w:b/>
                <w:bCs/>
                <w:sz w:val="22"/>
                <w:szCs w:val="22"/>
              </w:rPr>
              <w:t xml:space="preserve"> </w:t>
            </w:r>
            <w:r w:rsidRPr="009504EE">
              <w:rPr>
                <w:rFonts w:ascii="Arial" w:hAnsi="Arial" w:cs="Arial"/>
                <w:b/>
                <w:bCs/>
                <w:spacing w:val="-1"/>
                <w:sz w:val="22"/>
                <w:szCs w:val="22"/>
              </w:rPr>
              <w:t>DECISION</w:t>
            </w:r>
          </w:p>
        </w:tc>
        <w:tc>
          <w:tcPr>
            <w:tcW w:w="4110" w:type="dxa"/>
            <w:shd w:val="clear" w:color="auto" w:fill="A6A6A6" w:themeFill="background1" w:themeFillShade="A6"/>
            <w:vAlign w:val="center"/>
          </w:tcPr>
          <w:p w:rsidR="00D609E5" w:rsidRPr="009504EE" w:rsidRDefault="00D609E5" w:rsidP="002A25C2">
            <w:pPr>
              <w:pStyle w:val="BodyText"/>
              <w:kinsoku w:val="0"/>
              <w:overflowPunct w:val="0"/>
              <w:spacing w:before="120" w:after="120"/>
              <w:ind w:left="0" w:right="357" w:firstLine="0"/>
              <w:jc w:val="center"/>
              <w:rPr>
                <w:b/>
                <w:sz w:val="22"/>
                <w:szCs w:val="22"/>
              </w:rPr>
            </w:pPr>
            <w:r>
              <w:rPr>
                <w:b/>
                <w:sz w:val="22"/>
                <w:szCs w:val="22"/>
              </w:rPr>
              <w:t>MEMBERS</w:t>
            </w:r>
            <w:r w:rsidRPr="009504EE">
              <w:rPr>
                <w:b/>
                <w:sz w:val="22"/>
                <w:szCs w:val="22"/>
              </w:rPr>
              <w:t xml:space="preserve"> COMMENTS</w:t>
            </w:r>
          </w:p>
        </w:tc>
      </w:tr>
      <w:tr w:rsidR="00D609E5" w:rsidTr="002A25C2">
        <w:trPr>
          <w:trHeight w:val="3725"/>
        </w:trPr>
        <w:tc>
          <w:tcPr>
            <w:tcW w:w="817" w:type="dxa"/>
            <w:shd w:val="clear" w:color="auto" w:fill="auto"/>
          </w:tcPr>
          <w:p w:rsidR="00D609E5" w:rsidRPr="00291642" w:rsidRDefault="00D609E5" w:rsidP="002A25C2">
            <w:pPr>
              <w:pStyle w:val="TableParagraph"/>
              <w:kinsoku w:val="0"/>
              <w:overflowPunct w:val="0"/>
              <w:spacing w:line="266" w:lineRule="exact"/>
              <w:ind w:left="104"/>
              <w:jc w:val="center"/>
              <w:rPr>
                <w:rFonts w:ascii="Arial" w:hAnsi="Arial" w:cs="Arial"/>
                <w:b/>
                <w:bCs/>
                <w:spacing w:val="-2"/>
                <w:sz w:val="22"/>
                <w:szCs w:val="22"/>
              </w:rPr>
            </w:pPr>
            <w:r>
              <w:rPr>
                <w:rFonts w:ascii="Arial" w:hAnsi="Arial" w:cs="Arial"/>
                <w:b/>
                <w:bCs/>
                <w:spacing w:val="-2"/>
                <w:sz w:val="22"/>
                <w:szCs w:val="22"/>
              </w:rPr>
              <w:t>3</w:t>
            </w:r>
          </w:p>
        </w:tc>
        <w:tc>
          <w:tcPr>
            <w:tcW w:w="4111" w:type="dxa"/>
            <w:shd w:val="clear" w:color="auto" w:fill="auto"/>
          </w:tcPr>
          <w:p w:rsidR="00D609E5" w:rsidRPr="00252461" w:rsidRDefault="00745987" w:rsidP="002A25C2">
            <w:pPr>
              <w:pStyle w:val="TableParagraph"/>
              <w:kinsoku w:val="0"/>
              <w:overflowPunct w:val="0"/>
              <w:spacing w:before="120" w:after="120" w:line="266" w:lineRule="exact"/>
              <w:jc w:val="both"/>
              <w:rPr>
                <w:rFonts w:ascii="Arial" w:hAnsi="Arial" w:cs="Arial"/>
                <w:bCs/>
                <w:spacing w:val="-2"/>
                <w:sz w:val="22"/>
                <w:szCs w:val="22"/>
              </w:rPr>
            </w:pPr>
            <w:r w:rsidRPr="00745987">
              <w:rPr>
                <w:rFonts w:ascii="Arial" w:hAnsi="Arial" w:cs="Arial"/>
                <w:bCs/>
                <w:spacing w:val="-2"/>
                <w:sz w:val="22"/>
                <w:szCs w:val="22"/>
              </w:rPr>
              <w:t>To what extend a person is considered as holding a tax invoice as mentioned in paragraph 38(4</w:t>
            </w:r>
            <w:proofErr w:type="gramStart"/>
            <w:r w:rsidRPr="00745987">
              <w:rPr>
                <w:rFonts w:ascii="Arial" w:hAnsi="Arial" w:cs="Arial"/>
                <w:bCs/>
                <w:spacing w:val="-2"/>
                <w:sz w:val="22"/>
                <w:szCs w:val="22"/>
              </w:rPr>
              <w:t>)(</w:t>
            </w:r>
            <w:proofErr w:type="gramEnd"/>
            <w:r w:rsidRPr="00745987">
              <w:rPr>
                <w:rFonts w:ascii="Arial" w:hAnsi="Arial" w:cs="Arial"/>
                <w:bCs/>
                <w:spacing w:val="-2"/>
                <w:sz w:val="22"/>
                <w:szCs w:val="22"/>
              </w:rPr>
              <w:t>a) of GST Regulations (GSTR) 2014?</w:t>
            </w:r>
          </w:p>
        </w:tc>
        <w:tc>
          <w:tcPr>
            <w:tcW w:w="5245" w:type="dxa"/>
            <w:shd w:val="clear" w:color="auto" w:fill="auto"/>
          </w:tcPr>
          <w:p w:rsidR="00745987" w:rsidRPr="00745987" w:rsidRDefault="00745987" w:rsidP="00745987">
            <w:pPr>
              <w:pStyle w:val="ListParagraph"/>
              <w:numPr>
                <w:ilvl w:val="0"/>
                <w:numId w:val="5"/>
              </w:numPr>
              <w:tabs>
                <w:tab w:val="left" w:pos="667"/>
              </w:tabs>
              <w:spacing w:before="128" w:line="274" w:lineRule="exact"/>
              <w:ind w:right="104"/>
              <w:jc w:val="both"/>
              <w:rPr>
                <w:rFonts w:ascii="Arial" w:eastAsia="Arial" w:hAnsi="Arial" w:cs="Arial"/>
                <w:sz w:val="22"/>
                <w:szCs w:val="22"/>
              </w:rPr>
            </w:pPr>
            <w:r w:rsidRPr="00745987">
              <w:rPr>
                <w:rFonts w:ascii="Arial" w:eastAsia="Arial" w:hAnsi="Arial" w:cs="Arial"/>
                <w:sz w:val="22"/>
                <w:szCs w:val="22"/>
              </w:rPr>
              <w:t>Paragraph 38(4)(a) of GSTR 2014 provides that if a registered person did not claim for the input tax in the taxable period, in which he holds tax invoice, the Director General may allow such person to claim the input tax within 6 years from the date of supply to or importation by him.</w:t>
            </w:r>
          </w:p>
          <w:p w:rsidR="00745987" w:rsidRPr="00745987" w:rsidRDefault="00745987" w:rsidP="00745987">
            <w:pPr>
              <w:pStyle w:val="ListParagraph"/>
              <w:numPr>
                <w:ilvl w:val="0"/>
                <w:numId w:val="5"/>
              </w:numPr>
              <w:tabs>
                <w:tab w:val="left" w:pos="667"/>
              </w:tabs>
              <w:spacing w:before="128" w:line="274" w:lineRule="exact"/>
              <w:ind w:right="104"/>
              <w:jc w:val="both"/>
              <w:rPr>
                <w:rFonts w:ascii="Arial" w:eastAsia="Arial" w:hAnsi="Arial" w:cs="Arial"/>
                <w:sz w:val="22"/>
                <w:szCs w:val="22"/>
              </w:rPr>
            </w:pPr>
            <w:r w:rsidRPr="00745987">
              <w:rPr>
                <w:rFonts w:ascii="Arial" w:eastAsia="Arial" w:hAnsi="Arial" w:cs="Arial"/>
                <w:sz w:val="22"/>
                <w:szCs w:val="22"/>
              </w:rPr>
              <w:t>For the purpose of claiming input tax in accordance with paragraph 38(4)(a) of GSTR 2014, a taxable person is considered to hold a tax invoice on the earlier of:</w:t>
            </w:r>
          </w:p>
          <w:p w:rsidR="00745987" w:rsidRPr="00745987" w:rsidRDefault="00745987" w:rsidP="00745987">
            <w:pPr>
              <w:tabs>
                <w:tab w:val="left" w:pos="667"/>
              </w:tabs>
              <w:spacing w:before="128" w:line="274" w:lineRule="exact"/>
              <w:ind w:left="360" w:right="104"/>
              <w:jc w:val="both"/>
              <w:rPr>
                <w:rFonts w:ascii="Arial" w:eastAsia="Arial" w:hAnsi="Arial" w:cs="Arial"/>
              </w:rPr>
            </w:pPr>
            <w:r w:rsidRPr="00745987">
              <w:rPr>
                <w:rFonts w:ascii="Arial" w:eastAsia="Arial" w:hAnsi="Arial" w:cs="Arial"/>
              </w:rPr>
              <w:t>(a) the date or time of posting the tax invoice into the company Accounts Payable; or</w:t>
            </w:r>
          </w:p>
          <w:p w:rsidR="00D609E5" w:rsidRPr="00745987" w:rsidRDefault="00745987" w:rsidP="00745987">
            <w:pPr>
              <w:tabs>
                <w:tab w:val="left" w:pos="667"/>
              </w:tabs>
              <w:spacing w:before="128" w:line="274" w:lineRule="exact"/>
              <w:ind w:left="360" w:right="104"/>
              <w:jc w:val="both"/>
              <w:rPr>
                <w:rFonts w:ascii="Arial" w:eastAsia="Arial" w:hAnsi="Arial" w:cs="Arial"/>
              </w:rPr>
            </w:pPr>
            <w:r w:rsidRPr="00745987">
              <w:rPr>
                <w:rFonts w:ascii="Arial" w:eastAsia="Arial" w:hAnsi="Arial" w:cs="Arial"/>
              </w:rPr>
              <w:t>(b) one year from the date he holds the tax invoice.</w:t>
            </w:r>
          </w:p>
        </w:tc>
        <w:tc>
          <w:tcPr>
            <w:tcW w:w="4110" w:type="dxa"/>
            <w:shd w:val="clear" w:color="auto" w:fill="auto"/>
            <w:vAlign w:val="center"/>
          </w:tcPr>
          <w:p w:rsidR="00D609E5" w:rsidRDefault="00D609E5" w:rsidP="002A25C2">
            <w:pPr>
              <w:pStyle w:val="BodyText"/>
              <w:kinsoku w:val="0"/>
              <w:overflowPunct w:val="0"/>
              <w:spacing w:before="120" w:after="120"/>
              <w:ind w:left="0" w:right="357" w:firstLine="0"/>
              <w:jc w:val="center"/>
              <w:rPr>
                <w:b/>
                <w:sz w:val="22"/>
                <w:szCs w:val="22"/>
              </w:rPr>
            </w:pPr>
          </w:p>
        </w:tc>
      </w:tr>
    </w:tbl>
    <w:p w:rsidR="00D609E5" w:rsidRDefault="00D609E5" w:rsidP="00731671"/>
    <w:sectPr w:rsidR="00D609E5" w:rsidSect="0000780B">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9AB" w:rsidRDefault="002829AB" w:rsidP="0010209A">
      <w:pPr>
        <w:spacing w:after="0" w:line="240" w:lineRule="auto"/>
      </w:pPr>
      <w:r>
        <w:separator/>
      </w:r>
    </w:p>
  </w:endnote>
  <w:endnote w:type="continuationSeparator" w:id="0">
    <w:p w:rsidR="002829AB" w:rsidRDefault="002829AB" w:rsidP="0010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8343"/>
      <w:docPartObj>
        <w:docPartGallery w:val="Page Numbers (Bottom of Page)"/>
        <w:docPartUnique/>
      </w:docPartObj>
    </w:sdtPr>
    <w:sdtEndPr/>
    <w:sdtContent>
      <w:sdt>
        <w:sdtPr>
          <w:id w:val="565050523"/>
          <w:docPartObj>
            <w:docPartGallery w:val="Page Numbers (Top of Page)"/>
            <w:docPartUnique/>
          </w:docPartObj>
        </w:sdtPr>
        <w:sdtEndPr/>
        <w:sdtContent>
          <w:p w:rsidR="009B5797" w:rsidRDefault="00731671" w:rsidP="00731671">
            <w:pPr>
              <w:pStyle w:val="Footer"/>
              <w:tabs>
                <w:tab w:val="left" w:pos="780"/>
                <w:tab w:val="right" w:pos="13958"/>
              </w:tabs>
            </w:pPr>
            <w:r>
              <w:tab/>
            </w:r>
            <w:r>
              <w:tab/>
            </w:r>
            <w:r>
              <w:tab/>
            </w:r>
            <w:r>
              <w:tab/>
            </w:r>
            <w:r w:rsidR="009B5797">
              <w:t xml:space="preserve">Page </w:t>
            </w:r>
            <w:r w:rsidR="009B5797">
              <w:rPr>
                <w:b/>
                <w:sz w:val="24"/>
                <w:szCs w:val="24"/>
              </w:rPr>
              <w:fldChar w:fldCharType="begin"/>
            </w:r>
            <w:r w:rsidR="009B5797">
              <w:rPr>
                <w:b/>
              </w:rPr>
              <w:instrText xml:space="preserve"> PAGE </w:instrText>
            </w:r>
            <w:r w:rsidR="009B5797">
              <w:rPr>
                <w:b/>
                <w:sz w:val="24"/>
                <w:szCs w:val="24"/>
              </w:rPr>
              <w:fldChar w:fldCharType="separate"/>
            </w:r>
            <w:r w:rsidR="00F66D08">
              <w:rPr>
                <w:b/>
                <w:noProof/>
              </w:rPr>
              <w:t>4</w:t>
            </w:r>
            <w:r w:rsidR="009B5797">
              <w:rPr>
                <w:b/>
                <w:sz w:val="24"/>
                <w:szCs w:val="24"/>
              </w:rPr>
              <w:fldChar w:fldCharType="end"/>
            </w:r>
            <w:r w:rsidR="009B5797">
              <w:t xml:space="preserve"> of </w:t>
            </w:r>
            <w:r w:rsidR="009B5797">
              <w:rPr>
                <w:b/>
                <w:sz w:val="24"/>
                <w:szCs w:val="24"/>
              </w:rPr>
              <w:fldChar w:fldCharType="begin"/>
            </w:r>
            <w:r w:rsidR="009B5797">
              <w:rPr>
                <w:b/>
              </w:rPr>
              <w:instrText xml:space="preserve"> NUMPAGES  </w:instrText>
            </w:r>
            <w:r w:rsidR="009B5797">
              <w:rPr>
                <w:b/>
                <w:sz w:val="24"/>
                <w:szCs w:val="24"/>
              </w:rPr>
              <w:fldChar w:fldCharType="separate"/>
            </w:r>
            <w:r w:rsidR="00F66D08">
              <w:rPr>
                <w:b/>
                <w:noProof/>
              </w:rPr>
              <w:t>4</w:t>
            </w:r>
            <w:r w:rsidR="009B5797">
              <w:rPr>
                <w:b/>
                <w:sz w:val="24"/>
                <w:szCs w:val="24"/>
              </w:rPr>
              <w:fldChar w:fldCharType="end"/>
            </w:r>
          </w:p>
        </w:sdtContent>
      </w:sdt>
    </w:sdtContent>
  </w:sdt>
  <w:p w:rsidR="009B5797" w:rsidRDefault="009B5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9AB" w:rsidRDefault="002829AB" w:rsidP="0010209A">
      <w:pPr>
        <w:spacing w:after="0" w:line="240" w:lineRule="auto"/>
      </w:pPr>
      <w:r>
        <w:separator/>
      </w:r>
    </w:p>
  </w:footnote>
  <w:footnote w:type="continuationSeparator" w:id="0">
    <w:p w:rsidR="002829AB" w:rsidRDefault="002829AB" w:rsidP="00102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797" w:rsidRPr="005C2481" w:rsidRDefault="009B5797" w:rsidP="004A4646">
    <w:pPr>
      <w:pStyle w:val="BodyText"/>
      <w:spacing w:before="120"/>
      <w:ind w:left="2835"/>
      <w:rPr>
        <w:b/>
      </w:rPr>
    </w:pPr>
    <w:r w:rsidRPr="005C2481">
      <w:rPr>
        <w:b/>
        <w:noProof/>
        <w:u w:val="single"/>
      </w:rPr>
      <w:drawing>
        <wp:anchor distT="0" distB="0" distL="0" distR="0" simplePos="0" relativeHeight="251658240" behindDoc="0" locked="0" layoutInCell="1" allowOverlap="1">
          <wp:simplePos x="0" y="0"/>
          <wp:positionH relativeFrom="margin">
            <wp:posOffset>-209550</wp:posOffset>
          </wp:positionH>
          <wp:positionV relativeFrom="margin">
            <wp:posOffset>-1008380</wp:posOffset>
          </wp:positionV>
          <wp:extent cx="1447800" cy="800100"/>
          <wp:effectExtent l="19050" t="0" r="0" b="0"/>
          <wp:wrapSquare wrapText="bothSides"/>
          <wp:docPr id="1" name="Picture 1" descr="CTIM_Final as at 5 May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IM_Final as at 5 May 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00100"/>
                  </a:xfrm>
                  <a:prstGeom prst="rect">
                    <a:avLst/>
                  </a:prstGeom>
                  <a:noFill/>
                  <a:ln>
                    <a:noFill/>
                  </a:ln>
                </pic:spPr>
              </pic:pic>
            </a:graphicData>
          </a:graphic>
        </wp:anchor>
      </w:drawing>
    </w:r>
    <w:r w:rsidR="00DE74EE">
      <w:rPr>
        <w:b/>
      </w:rPr>
      <w:t xml:space="preserve">COMMENTS FROM </w:t>
    </w:r>
    <w:r>
      <w:rPr>
        <w:b/>
      </w:rPr>
      <w:t>MEMBERS</w:t>
    </w:r>
    <w:r w:rsidRPr="005C2481">
      <w:rPr>
        <w:b/>
      </w:rPr>
      <w:t xml:space="preserve"> ON GOODS AND SERVICES TAX </w:t>
    </w:r>
    <w:r w:rsidR="00D609E5">
      <w:rPr>
        <w:b/>
      </w:rPr>
      <w:t>DG’S DECISIONS 8</w:t>
    </w:r>
    <w:r>
      <w:rPr>
        <w:b/>
      </w:rPr>
      <w:t>-2015</w:t>
    </w:r>
  </w:p>
  <w:p w:rsidR="009B5797" w:rsidRDefault="009B5797" w:rsidP="008A5DCD">
    <w:pPr>
      <w:pStyle w:val="Header"/>
      <w:ind w:firstLine="4513"/>
      <w:rPr>
        <w:rFonts w:ascii="Arial" w:hAnsi="Arial" w:cs="Arial"/>
        <w:b/>
        <w:i/>
        <w:color w:val="595959"/>
        <w:sz w:val="24"/>
        <w:szCs w:val="24"/>
      </w:rPr>
    </w:pPr>
    <w:r w:rsidRPr="005C2481">
      <w:rPr>
        <w:rFonts w:ascii="Arial" w:hAnsi="Arial" w:cs="Arial"/>
        <w:b/>
        <w:i/>
        <w:color w:val="595959"/>
        <w:sz w:val="24"/>
        <w:szCs w:val="24"/>
      </w:rPr>
      <w:t xml:space="preserve">                                       </w:t>
    </w:r>
    <w:r>
      <w:rPr>
        <w:rFonts w:ascii="Arial" w:hAnsi="Arial" w:cs="Arial"/>
        <w:b/>
        <w:i/>
        <w:color w:val="595959"/>
        <w:sz w:val="24"/>
        <w:szCs w:val="24"/>
      </w:rPr>
      <w:t xml:space="preserve">                             </w:t>
    </w:r>
    <w:r>
      <w:rPr>
        <w:rFonts w:ascii="Arial" w:hAnsi="Arial" w:cs="Arial"/>
        <w:b/>
        <w:i/>
        <w:color w:val="595959"/>
        <w:sz w:val="24"/>
        <w:szCs w:val="24"/>
      </w:rPr>
      <w:tab/>
    </w:r>
    <w:r>
      <w:rPr>
        <w:rFonts w:ascii="Arial" w:hAnsi="Arial" w:cs="Arial"/>
        <w:b/>
        <w:i/>
        <w:color w:val="595959"/>
        <w:sz w:val="24"/>
        <w:szCs w:val="24"/>
      </w:rPr>
      <w:tab/>
    </w:r>
  </w:p>
  <w:p w:rsidR="009B5797" w:rsidRDefault="009B5797" w:rsidP="000C357B">
    <w:pPr>
      <w:pStyle w:val="Header"/>
      <w:ind w:firstLine="4513"/>
      <w:jc w:val="both"/>
      <w:rPr>
        <w:rFonts w:ascii="Arial" w:hAnsi="Arial" w:cs="Arial"/>
        <w:b/>
        <w:i/>
        <w:color w:val="595959"/>
        <w:sz w:val="24"/>
        <w:szCs w:val="24"/>
      </w:rPr>
    </w:pPr>
  </w:p>
  <w:p w:rsidR="009B5797" w:rsidRPr="005C2481" w:rsidRDefault="009B5797" w:rsidP="000C357B">
    <w:pPr>
      <w:pStyle w:val="Header"/>
      <w:ind w:firstLine="4513"/>
      <w:jc w:val="both"/>
      <w:rPr>
        <w:rFonts w:ascii="Arial" w:hAnsi="Arial" w:cs="Arial"/>
        <w:b/>
        <w:i/>
        <w:color w:val="595959"/>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85E47"/>
    <w:multiLevelType w:val="hybridMultilevel"/>
    <w:tmpl w:val="3A60E1AE"/>
    <w:lvl w:ilvl="0" w:tplc="02A4B36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43EF5EB7"/>
    <w:multiLevelType w:val="hybridMultilevel"/>
    <w:tmpl w:val="CAC0DEDC"/>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15:restartNumberingAfterBreak="0">
    <w:nsid w:val="55C81A98"/>
    <w:multiLevelType w:val="hybridMultilevel"/>
    <w:tmpl w:val="C83C4CC4"/>
    <w:lvl w:ilvl="0" w:tplc="9130544C">
      <w:start w:val="1"/>
      <w:numFmt w:val="lowerRoman"/>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15:restartNumberingAfterBreak="0">
    <w:nsid w:val="5D9579BD"/>
    <w:multiLevelType w:val="hybridMultilevel"/>
    <w:tmpl w:val="4F2A837C"/>
    <w:lvl w:ilvl="0" w:tplc="9130544C">
      <w:start w:val="1"/>
      <w:numFmt w:val="lowerRoman"/>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15:restartNumberingAfterBreak="0">
    <w:nsid w:val="671A13E4"/>
    <w:multiLevelType w:val="hybridMultilevel"/>
    <w:tmpl w:val="0AB04444"/>
    <w:lvl w:ilvl="0" w:tplc="9130544C">
      <w:start w:val="1"/>
      <w:numFmt w:val="lowerRoman"/>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046ACC"/>
    <w:rsid w:val="0000780B"/>
    <w:rsid w:val="0002055E"/>
    <w:rsid w:val="00046253"/>
    <w:rsid w:val="00046ACC"/>
    <w:rsid w:val="0009504F"/>
    <w:rsid w:val="000A6A4F"/>
    <w:rsid w:val="000B0026"/>
    <w:rsid w:val="000C357B"/>
    <w:rsid w:val="0010209A"/>
    <w:rsid w:val="0012524E"/>
    <w:rsid w:val="00131188"/>
    <w:rsid w:val="0013625B"/>
    <w:rsid w:val="001D2C1F"/>
    <w:rsid w:val="00216C32"/>
    <w:rsid w:val="00252461"/>
    <w:rsid w:val="002829AB"/>
    <w:rsid w:val="00291642"/>
    <w:rsid w:val="002974EE"/>
    <w:rsid w:val="003009EB"/>
    <w:rsid w:val="00334554"/>
    <w:rsid w:val="00345AA9"/>
    <w:rsid w:val="00380DC8"/>
    <w:rsid w:val="00384437"/>
    <w:rsid w:val="0038604F"/>
    <w:rsid w:val="003914D9"/>
    <w:rsid w:val="003B5953"/>
    <w:rsid w:val="003E5899"/>
    <w:rsid w:val="00416129"/>
    <w:rsid w:val="00447234"/>
    <w:rsid w:val="004825B4"/>
    <w:rsid w:val="00492AE4"/>
    <w:rsid w:val="00497AC6"/>
    <w:rsid w:val="004A4646"/>
    <w:rsid w:val="004D2F07"/>
    <w:rsid w:val="004D4D8E"/>
    <w:rsid w:val="004E2929"/>
    <w:rsid w:val="004E5EC0"/>
    <w:rsid w:val="004F0FAE"/>
    <w:rsid w:val="004F4D8E"/>
    <w:rsid w:val="00562002"/>
    <w:rsid w:val="005726B6"/>
    <w:rsid w:val="005A4132"/>
    <w:rsid w:val="005C2481"/>
    <w:rsid w:val="005E4A88"/>
    <w:rsid w:val="005F00FC"/>
    <w:rsid w:val="00620CE3"/>
    <w:rsid w:val="00692C9A"/>
    <w:rsid w:val="006E10B5"/>
    <w:rsid w:val="00701426"/>
    <w:rsid w:val="00702381"/>
    <w:rsid w:val="00714667"/>
    <w:rsid w:val="00731671"/>
    <w:rsid w:val="0073553D"/>
    <w:rsid w:val="00737F8B"/>
    <w:rsid w:val="00745987"/>
    <w:rsid w:val="00754653"/>
    <w:rsid w:val="007815DB"/>
    <w:rsid w:val="00792FB2"/>
    <w:rsid w:val="007976DB"/>
    <w:rsid w:val="007A42A9"/>
    <w:rsid w:val="007C4DB0"/>
    <w:rsid w:val="00835C5C"/>
    <w:rsid w:val="008742C1"/>
    <w:rsid w:val="008A0501"/>
    <w:rsid w:val="008A5DCD"/>
    <w:rsid w:val="008B5636"/>
    <w:rsid w:val="008D260A"/>
    <w:rsid w:val="008E7184"/>
    <w:rsid w:val="00917111"/>
    <w:rsid w:val="009504EE"/>
    <w:rsid w:val="00977E04"/>
    <w:rsid w:val="009B5797"/>
    <w:rsid w:val="009D0095"/>
    <w:rsid w:val="00A04812"/>
    <w:rsid w:val="00A312FE"/>
    <w:rsid w:val="00A31CD3"/>
    <w:rsid w:val="00A3296F"/>
    <w:rsid w:val="00A55EC4"/>
    <w:rsid w:val="00A778FB"/>
    <w:rsid w:val="00A81AD9"/>
    <w:rsid w:val="00A82E26"/>
    <w:rsid w:val="00A9443D"/>
    <w:rsid w:val="00A96812"/>
    <w:rsid w:val="00AA51D7"/>
    <w:rsid w:val="00AE5954"/>
    <w:rsid w:val="00AF6A72"/>
    <w:rsid w:val="00B40F8B"/>
    <w:rsid w:val="00B6434A"/>
    <w:rsid w:val="00B81781"/>
    <w:rsid w:val="00B92A27"/>
    <w:rsid w:val="00B95F97"/>
    <w:rsid w:val="00BF2A8A"/>
    <w:rsid w:val="00BF5359"/>
    <w:rsid w:val="00C03B05"/>
    <w:rsid w:val="00C14C2F"/>
    <w:rsid w:val="00C32698"/>
    <w:rsid w:val="00C36F04"/>
    <w:rsid w:val="00C55B3A"/>
    <w:rsid w:val="00C65FD8"/>
    <w:rsid w:val="00C7799F"/>
    <w:rsid w:val="00C82E76"/>
    <w:rsid w:val="00CB0E2F"/>
    <w:rsid w:val="00CD0CAA"/>
    <w:rsid w:val="00D60833"/>
    <w:rsid w:val="00D609E5"/>
    <w:rsid w:val="00D83D0A"/>
    <w:rsid w:val="00D9261A"/>
    <w:rsid w:val="00D92C4E"/>
    <w:rsid w:val="00DB018D"/>
    <w:rsid w:val="00DC704E"/>
    <w:rsid w:val="00DE74EE"/>
    <w:rsid w:val="00E26EC5"/>
    <w:rsid w:val="00E27F90"/>
    <w:rsid w:val="00F127B5"/>
    <w:rsid w:val="00F15011"/>
    <w:rsid w:val="00F229DD"/>
    <w:rsid w:val="00F467A9"/>
    <w:rsid w:val="00F555D5"/>
    <w:rsid w:val="00F622F5"/>
    <w:rsid w:val="00F66D08"/>
    <w:rsid w:val="00F82BAB"/>
    <w:rsid w:val="00FA7DC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142C565-7152-4597-BB9D-4B13A814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209A"/>
    <w:pPr>
      <w:widowControl w:val="0"/>
      <w:autoSpaceDE w:val="0"/>
      <w:autoSpaceDN w:val="0"/>
      <w:adjustRightInd w:val="0"/>
      <w:spacing w:after="0" w:line="240" w:lineRule="auto"/>
      <w:ind w:left="699" w:hanging="427"/>
    </w:pPr>
    <w:rPr>
      <w:rFonts w:ascii="Arial" w:eastAsiaTheme="minorEastAsia" w:hAnsi="Arial" w:cs="Arial"/>
      <w:sz w:val="24"/>
      <w:szCs w:val="24"/>
      <w:lang w:eastAsia="en-MY"/>
    </w:rPr>
  </w:style>
  <w:style w:type="character" w:customStyle="1" w:styleId="BodyTextChar">
    <w:name w:val="Body Text Char"/>
    <w:basedOn w:val="DefaultParagraphFont"/>
    <w:link w:val="BodyText"/>
    <w:uiPriority w:val="1"/>
    <w:rsid w:val="0010209A"/>
    <w:rPr>
      <w:rFonts w:ascii="Arial" w:eastAsiaTheme="minorEastAsia" w:hAnsi="Arial" w:cs="Arial"/>
      <w:sz w:val="24"/>
      <w:szCs w:val="24"/>
      <w:lang w:eastAsia="en-MY"/>
    </w:rPr>
  </w:style>
  <w:style w:type="table" w:styleId="TableGrid">
    <w:name w:val="Table Grid"/>
    <w:basedOn w:val="TableNormal"/>
    <w:uiPriority w:val="59"/>
    <w:rsid w:val="0010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0209A"/>
    <w:pPr>
      <w:widowControl w:val="0"/>
      <w:autoSpaceDE w:val="0"/>
      <w:autoSpaceDN w:val="0"/>
      <w:adjustRightInd w:val="0"/>
      <w:spacing w:after="0" w:line="240" w:lineRule="auto"/>
    </w:pPr>
    <w:rPr>
      <w:rFonts w:ascii="Times New Roman" w:eastAsiaTheme="minorEastAsia" w:hAnsi="Times New Roman" w:cs="Times New Roman"/>
      <w:sz w:val="24"/>
      <w:szCs w:val="24"/>
      <w:lang w:eastAsia="en-MY"/>
    </w:rPr>
  </w:style>
  <w:style w:type="paragraph" w:styleId="ListParagraph">
    <w:name w:val="List Paragraph"/>
    <w:basedOn w:val="Normal"/>
    <w:uiPriority w:val="1"/>
    <w:qFormat/>
    <w:rsid w:val="0010209A"/>
    <w:pPr>
      <w:widowControl w:val="0"/>
      <w:autoSpaceDE w:val="0"/>
      <w:autoSpaceDN w:val="0"/>
      <w:adjustRightInd w:val="0"/>
      <w:spacing w:after="0" w:line="240" w:lineRule="auto"/>
    </w:pPr>
    <w:rPr>
      <w:rFonts w:ascii="Times New Roman" w:eastAsiaTheme="minorEastAsia" w:hAnsi="Times New Roman" w:cs="Times New Roman"/>
      <w:sz w:val="24"/>
      <w:szCs w:val="24"/>
      <w:lang w:eastAsia="en-MY"/>
    </w:rPr>
  </w:style>
  <w:style w:type="paragraph" w:styleId="Header">
    <w:name w:val="header"/>
    <w:basedOn w:val="Normal"/>
    <w:link w:val="HeaderChar"/>
    <w:uiPriority w:val="99"/>
    <w:unhideWhenUsed/>
    <w:rsid w:val="00102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09A"/>
  </w:style>
  <w:style w:type="paragraph" w:styleId="Footer">
    <w:name w:val="footer"/>
    <w:basedOn w:val="Normal"/>
    <w:link w:val="FooterChar"/>
    <w:uiPriority w:val="99"/>
    <w:unhideWhenUsed/>
    <w:rsid w:val="00102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09A"/>
  </w:style>
  <w:style w:type="paragraph" w:styleId="BalloonText">
    <w:name w:val="Balloon Text"/>
    <w:basedOn w:val="Normal"/>
    <w:link w:val="BalloonTextChar"/>
    <w:uiPriority w:val="99"/>
    <w:semiHidden/>
    <w:unhideWhenUsed/>
    <w:rsid w:val="005C2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81"/>
    <w:rPr>
      <w:rFonts w:ascii="Tahoma" w:hAnsi="Tahoma" w:cs="Tahoma"/>
      <w:sz w:val="16"/>
      <w:szCs w:val="16"/>
    </w:rPr>
  </w:style>
  <w:style w:type="paragraph" w:customStyle="1" w:styleId="Default">
    <w:name w:val="Default"/>
    <w:rsid w:val="00C65F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48897">
      <w:bodyDiv w:val="1"/>
      <w:marLeft w:val="0"/>
      <w:marRight w:val="0"/>
      <w:marTop w:val="0"/>
      <w:marBottom w:val="0"/>
      <w:divBdr>
        <w:top w:val="none" w:sz="0" w:space="0" w:color="auto"/>
        <w:left w:val="none" w:sz="0" w:space="0" w:color="auto"/>
        <w:bottom w:val="none" w:sz="0" w:space="0" w:color="auto"/>
        <w:right w:val="none" w:sz="0" w:space="0" w:color="auto"/>
      </w:divBdr>
    </w:div>
    <w:div w:id="561872211">
      <w:bodyDiv w:val="1"/>
      <w:marLeft w:val="0"/>
      <w:marRight w:val="0"/>
      <w:marTop w:val="0"/>
      <w:marBottom w:val="0"/>
      <w:divBdr>
        <w:top w:val="none" w:sz="0" w:space="0" w:color="auto"/>
        <w:left w:val="none" w:sz="0" w:space="0" w:color="auto"/>
        <w:bottom w:val="none" w:sz="0" w:space="0" w:color="auto"/>
        <w:right w:val="none" w:sz="0" w:space="0" w:color="auto"/>
      </w:divBdr>
    </w:div>
    <w:div w:id="11557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7F59-8EA6-446B-9F78-05C41E09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4</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Tiru</dc:creator>
  <cp:keywords/>
  <dc:description/>
  <cp:lastModifiedBy>Tiru</cp:lastModifiedBy>
  <cp:revision>83</cp:revision>
  <dcterms:created xsi:type="dcterms:W3CDTF">2015-01-06T06:20:00Z</dcterms:created>
  <dcterms:modified xsi:type="dcterms:W3CDTF">2015-11-04T09:25:00Z</dcterms:modified>
</cp:coreProperties>
</file>